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09C" w:rsidRDefault="0043209C" w:rsidP="0043209C">
      <w:pPr>
        <w:shd w:val="clear" w:color="auto" w:fill="FFFFFF"/>
        <w:spacing w:after="30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31619"/>
          <w:sz w:val="40"/>
          <w:szCs w:val="40"/>
        </w:rPr>
      </w:pPr>
      <w:r>
        <w:rPr>
          <w:noProof/>
          <w:sz w:val="28"/>
          <w:szCs w:val="28"/>
        </w:rPr>
        <w:drawing>
          <wp:inline distT="0" distB="0" distL="0" distR="0" wp14:anchorId="2E06B0C1" wp14:editId="51B7955C">
            <wp:extent cx="1390191" cy="1164251"/>
            <wp:effectExtent l="0" t="0" r="635" b="0"/>
            <wp:docPr id="14" name="Picture 14" descr="C:\Users\TEMPTECH\Desktop\logo 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EMPTECH\Desktop\logo fina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4164" cy="1201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931F2" w:rsidRPr="00A931F2" w:rsidRDefault="00A931F2" w:rsidP="00A931F2">
      <w:pPr>
        <w:shd w:val="clear" w:color="auto" w:fill="FFFFFF"/>
        <w:spacing w:after="300" w:line="240" w:lineRule="auto"/>
        <w:outlineLvl w:val="1"/>
        <w:rPr>
          <w:rFonts w:ascii="Times New Roman" w:eastAsia="Times New Roman" w:hAnsi="Times New Roman" w:cs="Times New Roman"/>
          <w:b/>
          <w:bCs/>
          <w:color w:val="131619"/>
          <w:sz w:val="40"/>
          <w:szCs w:val="40"/>
        </w:rPr>
      </w:pPr>
      <w:r w:rsidRPr="00A931F2">
        <w:rPr>
          <w:rFonts w:ascii="Times New Roman" w:eastAsia="Times New Roman" w:hAnsi="Times New Roman" w:cs="Times New Roman"/>
          <w:b/>
          <w:bCs/>
          <w:color w:val="131619"/>
          <w:sz w:val="40"/>
          <w:szCs w:val="40"/>
        </w:rPr>
        <w:t xml:space="preserve">16 Days of Activism </w:t>
      </w:r>
      <w:proofErr w:type="gramStart"/>
      <w:r w:rsidRPr="00A931F2">
        <w:rPr>
          <w:rFonts w:ascii="Times New Roman" w:eastAsia="Times New Roman" w:hAnsi="Times New Roman" w:cs="Times New Roman"/>
          <w:b/>
          <w:bCs/>
          <w:color w:val="131619"/>
          <w:sz w:val="40"/>
          <w:szCs w:val="40"/>
        </w:rPr>
        <w:t>Against</w:t>
      </w:r>
      <w:proofErr w:type="gramEnd"/>
      <w:r w:rsidRPr="00A931F2">
        <w:rPr>
          <w:rFonts w:ascii="Times New Roman" w:eastAsia="Times New Roman" w:hAnsi="Times New Roman" w:cs="Times New Roman"/>
          <w:b/>
          <w:bCs/>
          <w:color w:val="131619"/>
          <w:sz w:val="40"/>
          <w:szCs w:val="40"/>
        </w:rPr>
        <w:t xml:space="preserve"> Gender-Based Violence</w:t>
      </w:r>
    </w:p>
    <w:p w:rsidR="00C76528" w:rsidRPr="00501A5D" w:rsidRDefault="00C76528" w:rsidP="00C76528">
      <w:pPr>
        <w:rPr>
          <w:b/>
        </w:rPr>
      </w:pPr>
      <w:r w:rsidRPr="00C76528">
        <w:t>From 25 November to 10 December 2025, mark the </w:t>
      </w:r>
      <w:r w:rsidRPr="002E1A62">
        <w:t>16 Days of Activ</w:t>
      </w:r>
      <w:r w:rsidR="002E1A62">
        <w:t>ism to End Gender-based Violence</w:t>
      </w:r>
      <w:r w:rsidRPr="00C76528">
        <w:t xml:space="preserve"> under the theme: </w:t>
      </w:r>
      <w:r w:rsidRPr="00501A5D">
        <w:rPr>
          <w:b/>
        </w:rPr>
        <w:t>“</w:t>
      </w:r>
      <w:proofErr w:type="spellStart"/>
      <w:r w:rsidRPr="00501A5D">
        <w:rPr>
          <w:b/>
        </w:rPr>
        <w:t>UNiTE</w:t>
      </w:r>
      <w:proofErr w:type="spellEnd"/>
      <w:r w:rsidRPr="00501A5D">
        <w:rPr>
          <w:b/>
        </w:rPr>
        <w:t xml:space="preserve"> to End Digital Violence against All Women and Girls”. </w:t>
      </w:r>
    </w:p>
    <w:p w:rsidR="00C76528" w:rsidRPr="00C76528" w:rsidRDefault="00C76528" w:rsidP="00C76528">
      <w:r w:rsidRPr="00C76528">
        <w:t>Violence against women and girls affects </w:t>
      </w:r>
      <w:r w:rsidRPr="002E1A62">
        <w:t>one in three women</w:t>
      </w:r>
      <w:r w:rsidR="002E1A62">
        <w:t>.</w:t>
      </w:r>
      <w:r w:rsidRPr="00C76528">
        <w:t> It is a global human rights emergency that must stop. As the world marks the </w:t>
      </w:r>
      <w:r w:rsidRPr="002E1A62">
        <w:t>30th anniversary of the Beijing Declaration and Platform for Action</w:t>
      </w:r>
      <w:r w:rsidR="002E1A62">
        <w:t>,</w:t>
      </w:r>
      <w:r w:rsidRPr="00C76528">
        <w:t xml:space="preserve"> one of the most progressive international agreements on women’s rights to date – the UN Secretary-General’s </w:t>
      </w:r>
      <w:proofErr w:type="spellStart"/>
      <w:r w:rsidRPr="00C76528">
        <w:t>UNiTE</w:t>
      </w:r>
      <w:proofErr w:type="spellEnd"/>
      <w:r w:rsidRPr="00C76528">
        <w:t xml:space="preserve"> 2025 campaign focuses on one of the fastest-growing forms of abuse: digital violence against women and girls. This year’s campaign is also a reminder that digital safety is central to gender equality.</w:t>
      </w:r>
    </w:p>
    <w:p w:rsidR="00C76528" w:rsidRPr="00714650" w:rsidRDefault="00C76528" w:rsidP="00C76528">
      <w:pPr>
        <w:rPr>
          <w:b/>
        </w:rPr>
      </w:pPr>
      <w:r w:rsidRPr="00714650">
        <w:rPr>
          <w:b/>
        </w:rPr>
        <w:t>What is digital abuse?</w:t>
      </w:r>
    </w:p>
    <w:p w:rsidR="00C76528" w:rsidRPr="00C76528" w:rsidRDefault="00C76528" w:rsidP="00C76528">
      <w:r w:rsidRPr="00C76528">
        <w:t>Digital tools are increasingly being used to stalk, harass, and </w:t>
      </w:r>
      <w:r w:rsidRPr="00E47180">
        <w:t>abuse women and girls</w:t>
      </w:r>
      <w:r w:rsidR="00E47180">
        <w:t xml:space="preserve">. </w:t>
      </w:r>
      <w:r w:rsidRPr="00C76528">
        <w:t>This includes:</w:t>
      </w:r>
    </w:p>
    <w:p w:rsidR="00E47180" w:rsidRDefault="00C76528" w:rsidP="00C76528">
      <w:pPr>
        <w:pStyle w:val="ListParagraph"/>
        <w:numPr>
          <w:ilvl w:val="0"/>
          <w:numId w:val="6"/>
        </w:numPr>
      </w:pPr>
      <w:r w:rsidRPr="00C76528">
        <w:t>Image-based abuse/ non-consensual sharing of intimate images – often called revenge porn or leaked nudes.</w:t>
      </w:r>
    </w:p>
    <w:p w:rsidR="00E47180" w:rsidRDefault="00C76528" w:rsidP="00C76528">
      <w:pPr>
        <w:pStyle w:val="ListParagraph"/>
        <w:numPr>
          <w:ilvl w:val="0"/>
          <w:numId w:val="6"/>
        </w:numPr>
      </w:pPr>
      <w:r w:rsidRPr="00C76528">
        <w:t>Cyberbullying, trolling, and online threats.</w:t>
      </w:r>
    </w:p>
    <w:p w:rsidR="00E47180" w:rsidRDefault="00C76528" w:rsidP="00C76528">
      <w:pPr>
        <w:pStyle w:val="ListParagraph"/>
        <w:numPr>
          <w:ilvl w:val="0"/>
          <w:numId w:val="6"/>
        </w:numPr>
      </w:pPr>
      <w:r w:rsidRPr="00C76528">
        <w:t>Online harassment and sexual harassment.</w:t>
      </w:r>
    </w:p>
    <w:p w:rsidR="00E47180" w:rsidRDefault="00C76528" w:rsidP="00C76528">
      <w:pPr>
        <w:pStyle w:val="ListParagraph"/>
        <w:numPr>
          <w:ilvl w:val="0"/>
          <w:numId w:val="6"/>
        </w:numPr>
      </w:pPr>
      <w:r w:rsidRPr="00C76528">
        <w:t>AI-generated deep</w:t>
      </w:r>
      <w:r w:rsidR="00E47180">
        <w:t xml:space="preserve"> </w:t>
      </w:r>
      <w:r w:rsidRPr="00C76528">
        <w:t>fakes such as sexually explicit images, deep</w:t>
      </w:r>
      <w:r w:rsidR="00E47180">
        <w:t xml:space="preserve"> </w:t>
      </w:r>
      <w:r w:rsidRPr="00C76528">
        <w:t>fake pornography, and digitally manipulated images, videos or audio.</w:t>
      </w:r>
    </w:p>
    <w:p w:rsidR="00E47180" w:rsidRDefault="00C76528" w:rsidP="00C76528">
      <w:pPr>
        <w:pStyle w:val="ListParagraph"/>
        <w:numPr>
          <w:ilvl w:val="0"/>
          <w:numId w:val="6"/>
        </w:numPr>
      </w:pPr>
      <w:r w:rsidRPr="00C76528">
        <w:t>Hate speech and disinformation on social media platforms.</w:t>
      </w:r>
    </w:p>
    <w:p w:rsidR="00E47180" w:rsidRDefault="00C76528" w:rsidP="00C76528">
      <w:pPr>
        <w:pStyle w:val="ListParagraph"/>
        <w:numPr>
          <w:ilvl w:val="0"/>
          <w:numId w:val="6"/>
        </w:numPr>
      </w:pPr>
      <w:proofErr w:type="spellStart"/>
      <w:r w:rsidRPr="00C76528">
        <w:t>Doxxing</w:t>
      </w:r>
      <w:proofErr w:type="spellEnd"/>
      <w:r w:rsidRPr="00C76528">
        <w:t> – publishing private information.</w:t>
      </w:r>
    </w:p>
    <w:p w:rsidR="00E47180" w:rsidRDefault="00C76528" w:rsidP="00C76528">
      <w:pPr>
        <w:pStyle w:val="ListParagraph"/>
        <w:numPr>
          <w:ilvl w:val="0"/>
          <w:numId w:val="6"/>
        </w:numPr>
      </w:pPr>
      <w:r w:rsidRPr="00C76528">
        <w:t>Online stalking or surveillance/tracking to monitor someone’s activities.</w:t>
      </w:r>
    </w:p>
    <w:p w:rsidR="00E47180" w:rsidRDefault="00C76528" w:rsidP="00C76528">
      <w:pPr>
        <w:pStyle w:val="ListParagraph"/>
        <w:numPr>
          <w:ilvl w:val="0"/>
          <w:numId w:val="6"/>
        </w:numPr>
      </w:pPr>
      <w:r w:rsidRPr="00C76528">
        <w:t>Online grooming and sexual exploitation.</w:t>
      </w:r>
    </w:p>
    <w:p w:rsidR="00E47180" w:rsidRDefault="00E47180" w:rsidP="00C76528">
      <w:pPr>
        <w:pStyle w:val="ListParagraph"/>
        <w:numPr>
          <w:ilvl w:val="0"/>
          <w:numId w:val="6"/>
        </w:numPr>
      </w:pPr>
      <w:r w:rsidRPr="00C76528">
        <w:t>Cat fishing</w:t>
      </w:r>
      <w:r w:rsidR="00C76528" w:rsidRPr="00C76528">
        <w:t xml:space="preserve"> and impersonation.</w:t>
      </w:r>
    </w:p>
    <w:p w:rsidR="00C76528" w:rsidRPr="00C76528" w:rsidRDefault="00C76528" w:rsidP="00C76528">
      <w:pPr>
        <w:pStyle w:val="ListParagraph"/>
        <w:numPr>
          <w:ilvl w:val="0"/>
          <w:numId w:val="6"/>
        </w:numPr>
      </w:pPr>
      <w:r w:rsidRPr="00C76528">
        <w:t>Misogynistic networks – e.g. </w:t>
      </w:r>
      <w:proofErr w:type="spellStart"/>
      <w:r w:rsidR="00E47180">
        <w:t>manosphere</w:t>
      </w:r>
      <w:proofErr w:type="spellEnd"/>
      <w:r w:rsidR="00E47180">
        <w:t>,</w:t>
      </w:r>
      <w:r w:rsidRPr="00C76528">
        <w:t> </w:t>
      </w:r>
      <w:proofErr w:type="spellStart"/>
      <w:r w:rsidRPr="00C76528">
        <w:t>incel</w:t>
      </w:r>
      <w:proofErr w:type="spellEnd"/>
      <w:r w:rsidRPr="00C76528">
        <w:t xml:space="preserve"> forums.</w:t>
      </w:r>
    </w:p>
    <w:p w:rsidR="00C76528" w:rsidRPr="00C76528" w:rsidRDefault="00C76528" w:rsidP="00C76528">
      <w:r w:rsidRPr="00C76528">
        <w:t xml:space="preserve">These acts don’t just happen online. They often lead to offline violence in real life (IRL), such as coercion, physical abuse, and even </w:t>
      </w:r>
      <w:proofErr w:type="spellStart"/>
      <w:r w:rsidRPr="00C76528">
        <w:t>femicide</w:t>
      </w:r>
      <w:proofErr w:type="spellEnd"/>
      <w:r w:rsidRPr="00C76528">
        <w:t xml:space="preserve"> – killing of women and girls. The harm can be long-lasting and affect survivors over a prolonged period of time.</w:t>
      </w:r>
    </w:p>
    <w:p w:rsidR="00C76528" w:rsidRPr="00C76528" w:rsidRDefault="00C76528" w:rsidP="00C76528">
      <w:r w:rsidRPr="00C76528">
        <w:t>Digital violence targets women more than men, across all walks of life, but especially those with public or online visibility – such as activists, journalists, women in politics, human rights defenders, and young women.</w:t>
      </w:r>
    </w:p>
    <w:p w:rsidR="00C76528" w:rsidRPr="00C76528" w:rsidRDefault="00C76528" w:rsidP="00C76528">
      <w:r w:rsidRPr="00C76528">
        <w:t>The impact is even worse for women facing </w:t>
      </w:r>
      <w:r w:rsidRPr="00E47180">
        <w:t>intersecting forms of discrimination</w:t>
      </w:r>
      <w:r w:rsidR="00E47180">
        <w:t>s</w:t>
      </w:r>
      <w:r w:rsidRPr="00C76528">
        <w:t xml:space="preserve"> including race, disability, gender identity, or sexual orientation.</w:t>
      </w:r>
    </w:p>
    <w:p w:rsidR="00C76528" w:rsidRPr="005227D3" w:rsidRDefault="00C76528" w:rsidP="00C76528">
      <w:pPr>
        <w:rPr>
          <w:b/>
        </w:rPr>
      </w:pPr>
      <w:r w:rsidRPr="005227D3">
        <w:rPr>
          <w:b/>
        </w:rPr>
        <w:lastRenderedPageBreak/>
        <w:t>Why is digital abuse so hard to stop?</w:t>
      </w:r>
    </w:p>
    <w:p w:rsidR="00E47180" w:rsidRDefault="00C76528" w:rsidP="00C76528">
      <w:pPr>
        <w:pStyle w:val="ListParagraph"/>
        <w:numPr>
          <w:ilvl w:val="0"/>
          <w:numId w:val="7"/>
        </w:numPr>
      </w:pPr>
      <w:r w:rsidRPr="00C76528">
        <w:t>Weak regulation of the technology sector or lack of legal recognition of digital violence in countries.</w:t>
      </w:r>
    </w:p>
    <w:p w:rsidR="00E47180" w:rsidRDefault="00C76528" w:rsidP="00C76528">
      <w:pPr>
        <w:pStyle w:val="ListParagraph"/>
        <w:numPr>
          <w:ilvl w:val="0"/>
          <w:numId w:val="7"/>
        </w:numPr>
      </w:pPr>
      <w:r w:rsidRPr="00C76528">
        <w:t>Lack of accountability from tech platforms and social networking sites.</w:t>
      </w:r>
    </w:p>
    <w:p w:rsidR="00E47180" w:rsidRDefault="00C76528" w:rsidP="00C76528">
      <w:pPr>
        <w:pStyle w:val="ListParagraph"/>
        <w:numPr>
          <w:ilvl w:val="0"/>
          <w:numId w:val="7"/>
        </w:numPr>
      </w:pPr>
      <w:r w:rsidRPr="00C76528">
        <w:t xml:space="preserve">Normalization of violence in </w:t>
      </w:r>
      <w:proofErr w:type="spellStart"/>
      <w:r w:rsidRPr="00C76528">
        <w:t>manosphere</w:t>
      </w:r>
      <w:proofErr w:type="spellEnd"/>
      <w:r w:rsidRPr="00C76528">
        <w:t xml:space="preserve"> spaces.</w:t>
      </w:r>
    </w:p>
    <w:p w:rsidR="00E47180" w:rsidRDefault="00C76528" w:rsidP="00C76528">
      <w:pPr>
        <w:pStyle w:val="ListParagraph"/>
        <w:numPr>
          <w:ilvl w:val="0"/>
          <w:numId w:val="7"/>
        </w:numPr>
      </w:pPr>
      <w:r w:rsidRPr="00C76528">
        <w:t>Artificial Intelligence creating new forms of abuse and amplifying digital violence.</w:t>
      </w:r>
    </w:p>
    <w:p w:rsidR="005227D3" w:rsidRDefault="00C76528" w:rsidP="00C76528">
      <w:pPr>
        <w:pStyle w:val="ListParagraph"/>
        <w:numPr>
          <w:ilvl w:val="0"/>
          <w:numId w:val="7"/>
        </w:numPr>
      </w:pPr>
      <w:r w:rsidRPr="00C76528">
        <w:t>Growing backlash against gender equality.</w:t>
      </w:r>
    </w:p>
    <w:p w:rsidR="005227D3" w:rsidRDefault="00C76528" w:rsidP="00C76528">
      <w:pPr>
        <w:pStyle w:val="ListParagraph"/>
        <w:numPr>
          <w:ilvl w:val="0"/>
          <w:numId w:val="7"/>
        </w:numPr>
      </w:pPr>
      <w:r w:rsidRPr="00C76528">
        <w:t>Anonymity of perpetrators and cross-border abuse make it harder to get justice.</w:t>
      </w:r>
    </w:p>
    <w:p w:rsidR="00C76528" w:rsidRDefault="00C76528" w:rsidP="00C76528">
      <w:pPr>
        <w:pStyle w:val="ListParagraph"/>
        <w:numPr>
          <w:ilvl w:val="0"/>
          <w:numId w:val="7"/>
        </w:numPr>
      </w:pPr>
      <w:r w:rsidRPr="00C76528">
        <w:t>Limited support systems for survivors of cyberbullying or personal data leaks.</w:t>
      </w:r>
    </w:p>
    <w:p w:rsidR="009C1133" w:rsidRPr="005227D3" w:rsidRDefault="005227D3" w:rsidP="00C76528">
      <w:pPr>
        <w:rPr>
          <w:b/>
        </w:rPr>
      </w:pPr>
      <w:r w:rsidRPr="005227D3">
        <w:rPr>
          <w:b/>
        </w:rPr>
        <w:t>Remarkable work by International agencies</w:t>
      </w:r>
      <w:r w:rsidR="0038553F">
        <w:rPr>
          <w:b/>
        </w:rPr>
        <w:t xml:space="preserve"> </w:t>
      </w:r>
    </w:p>
    <w:p w:rsidR="009C1133" w:rsidRPr="009C1133" w:rsidRDefault="009C1133" w:rsidP="009C1133">
      <w:r w:rsidRPr="009C1133">
        <w:t>Growing momentum for action by governments, the UN, and regional organizations</w:t>
      </w:r>
    </w:p>
    <w:p w:rsidR="009C1133" w:rsidRPr="009C1133" w:rsidRDefault="009C1133" w:rsidP="009C1133">
      <w:r w:rsidRPr="009C1133">
        <w:t>Thanks to years of advocacy by feminist and digital rights movements, major progress has been made:</w:t>
      </w:r>
    </w:p>
    <w:p w:rsidR="009C1133" w:rsidRPr="009C1133" w:rsidRDefault="009C1133" w:rsidP="009C1133">
      <w:r w:rsidRPr="009C1133">
        <w:t>The 2024 </w:t>
      </w:r>
      <w:hyperlink r:id="rId6" w:history="1">
        <w:r w:rsidRPr="009C1133">
          <w:rPr>
            <w:rStyle w:val="Hyperlink"/>
          </w:rPr>
          <w:t>Global Digital Compact</w:t>
        </w:r>
      </w:hyperlink>
      <w:r w:rsidRPr="009C1133">
        <w:t> set the first UN-wide standards for digital safety and AI governance.</w:t>
      </w:r>
    </w:p>
    <w:p w:rsidR="009C1133" w:rsidRPr="009C1133" w:rsidRDefault="009C1133" w:rsidP="009C1133">
      <w:r w:rsidRPr="009C1133">
        <w:t>In December 2024, Member States adopted the UN Cybercrime Convention – the first legally binding international instrument with implications for addressing digital violence.</w:t>
      </w:r>
    </w:p>
    <w:p w:rsidR="009C1133" w:rsidRPr="009C1133" w:rsidRDefault="009C1133" w:rsidP="009C1133">
      <w:r w:rsidRPr="009C1133">
        <w:t>The UN General Assembly adopted a </w:t>
      </w:r>
      <w:hyperlink r:id="rId7" w:history="1">
        <w:r w:rsidRPr="009C1133">
          <w:rPr>
            <w:rStyle w:val="Hyperlink"/>
          </w:rPr>
          <w:t>resolution</w:t>
        </w:r>
      </w:hyperlink>
      <w:r w:rsidRPr="009C1133">
        <w:t xml:space="preserve"> on Violence </w:t>
      </w:r>
      <w:proofErr w:type="gramStart"/>
      <w:r w:rsidRPr="009C1133">
        <w:t>Against</w:t>
      </w:r>
      <w:proofErr w:type="gramEnd"/>
      <w:r w:rsidRPr="009C1133">
        <w:t xml:space="preserve"> Women in Digital Environments in 2024, urging states to take immediate, effective action to prevent and eliminate digital violence and to strengthen regulation and accountability of platforms.</w:t>
      </w:r>
    </w:p>
    <w:p w:rsidR="009C1133" w:rsidRPr="009C1133" w:rsidRDefault="009C1133" w:rsidP="009C1133">
      <w:r w:rsidRPr="009C1133">
        <w:t>In 2024, the UN Statistical Commission </w:t>
      </w:r>
      <w:hyperlink r:id="rId8" w:history="1">
        <w:r w:rsidRPr="009C1133">
          <w:rPr>
            <w:rStyle w:val="Hyperlink"/>
          </w:rPr>
          <w:t>called for the development</w:t>
        </w:r>
      </w:hyperlink>
      <w:r w:rsidRPr="009C1133">
        <w:t> of global methods to measure technology-facilitated gender-based violence, with work now underway.</w:t>
      </w:r>
    </w:p>
    <w:p w:rsidR="009C1133" w:rsidRPr="009C1133" w:rsidRDefault="009C1133" w:rsidP="009C1133">
      <w:r w:rsidRPr="009C1133">
        <w:t>Regional bodies also acted – from the </w:t>
      </w:r>
      <w:hyperlink r:id="rId9" w:history="1">
        <w:r w:rsidRPr="009C1133">
          <w:rPr>
            <w:rStyle w:val="Hyperlink"/>
          </w:rPr>
          <w:t>African Union’s Convention on Ending Violence against Women and Girls</w:t>
        </w:r>
      </w:hyperlink>
      <w:r w:rsidRPr="009C1133">
        <w:t> to the </w:t>
      </w:r>
      <w:hyperlink r:id="rId10" w:history="1">
        <w:r w:rsidRPr="009C1133">
          <w:rPr>
            <w:rStyle w:val="Hyperlink"/>
          </w:rPr>
          <w:t>EU’s Digital Services Act</w:t>
        </w:r>
      </w:hyperlink>
      <w:r w:rsidRPr="009C1133">
        <w:t>.</w:t>
      </w:r>
    </w:p>
    <w:p w:rsidR="009C1133" w:rsidRPr="00714650" w:rsidRDefault="00714650" w:rsidP="009C1133">
      <w:pPr>
        <w:rPr>
          <w:b/>
        </w:rPr>
      </w:pPr>
      <w:r>
        <w:rPr>
          <w:b/>
        </w:rPr>
        <w:t xml:space="preserve">The 2025 </w:t>
      </w:r>
      <w:proofErr w:type="spellStart"/>
      <w:r>
        <w:rPr>
          <w:b/>
        </w:rPr>
        <w:t>UNiTE</w:t>
      </w:r>
      <w:proofErr w:type="spellEnd"/>
      <w:r>
        <w:rPr>
          <w:b/>
        </w:rPr>
        <w:t xml:space="preserve"> campaign call for action</w:t>
      </w:r>
    </w:p>
    <w:p w:rsidR="00714650" w:rsidRDefault="009C1133" w:rsidP="009C1133">
      <w:pPr>
        <w:pStyle w:val="ListParagraph"/>
        <w:numPr>
          <w:ilvl w:val="0"/>
          <w:numId w:val="7"/>
        </w:numPr>
      </w:pPr>
      <w:r w:rsidRPr="009C1133">
        <w:t>We must all act to stop digital abuse. To mark the 16 Days of Activism, the campaign calls on:</w:t>
      </w:r>
    </w:p>
    <w:p w:rsidR="00714650" w:rsidRDefault="009C1133" w:rsidP="009C1133">
      <w:pPr>
        <w:pStyle w:val="ListParagraph"/>
        <w:numPr>
          <w:ilvl w:val="0"/>
          <w:numId w:val="7"/>
        </w:numPr>
      </w:pPr>
      <w:r w:rsidRPr="009C1133">
        <w:t>Governments to pass and enforce laws that criminalize digital violence, protect personal information and strengthen tech sector accountability.</w:t>
      </w:r>
    </w:p>
    <w:p w:rsidR="00714650" w:rsidRDefault="009C1133" w:rsidP="009C1133">
      <w:pPr>
        <w:pStyle w:val="ListParagraph"/>
        <w:numPr>
          <w:ilvl w:val="0"/>
          <w:numId w:val="7"/>
        </w:numPr>
      </w:pPr>
      <w:r w:rsidRPr="009C1133">
        <w:t>Tech companies to ensure platform safety, remove harmful content, enforce codes of conduct and publish transparent reports.</w:t>
      </w:r>
    </w:p>
    <w:p w:rsidR="00714650" w:rsidRDefault="009C1133" w:rsidP="009C1133">
      <w:pPr>
        <w:pStyle w:val="ListParagraph"/>
        <w:numPr>
          <w:ilvl w:val="0"/>
          <w:numId w:val="7"/>
        </w:numPr>
      </w:pPr>
      <w:r w:rsidRPr="009C1133">
        <w:t>Donors to invest in feminist organizations working to end violence against women and digital rights advocates.</w:t>
      </w:r>
    </w:p>
    <w:p w:rsidR="00714650" w:rsidRDefault="009C1133" w:rsidP="009C1133">
      <w:pPr>
        <w:pStyle w:val="ListParagraph"/>
        <w:numPr>
          <w:ilvl w:val="0"/>
          <w:numId w:val="7"/>
        </w:numPr>
      </w:pPr>
      <w:r w:rsidRPr="009C1133">
        <w:t>Individuals to speak out, support survivors, and challenge harmful online norms.</w:t>
      </w:r>
    </w:p>
    <w:p w:rsidR="009C1133" w:rsidRPr="009C1133" w:rsidRDefault="00714650" w:rsidP="009C1133">
      <w:pPr>
        <w:pStyle w:val="ListParagraph"/>
        <w:numPr>
          <w:ilvl w:val="0"/>
          <w:numId w:val="7"/>
        </w:numPr>
      </w:pPr>
      <w:r>
        <w:t>L</w:t>
      </w:r>
      <w:r w:rsidR="009C1133" w:rsidRPr="009C1133">
        <w:t xml:space="preserve">earn and share information from this year’s campaign, support local services that support survivors of gender-based violence, host or participate in digital safety sessions, support male </w:t>
      </w:r>
      <w:proofErr w:type="spellStart"/>
      <w:r w:rsidR="009C1133" w:rsidRPr="009C1133">
        <w:t>allyship</w:t>
      </w:r>
      <w:proofErr w:type="spellEnd"/>
      <w:r w:rsidR="009C1133" w:rsidRPr="009C1133">
        <w:t xml:space="preserve"> campaigns that reject and prevent digital violence against women and girls, and encourage governments and companies to adopt better laws and policies.</w:t>
      </w:r>
    </w:p>
    <w:p w:rsidR="009C1133" w:rsidRPr="00714650" w:rsidRDefault="009C1133" w:rsidP="009C1133">
      <w:pPr>
        <w:rPr>
          <w:b/>
        </w:rPr>
      </w:pPr>
      <w:r w:rsidRPr="00714650">
        <w:rPr>
          <w:b/>
        </w:rPr>
        <w:t xml:space="preserve">Don’t forget to wear or display the </w:t>
      </w:r>
      <w:proofErr w:type="spellStart"/>
      <w:r w:rsidRPr="00714650">
        <w:rPr>
          <w:b/>
        </w:rPr>
        <w:t>colour</w:t>
      </w:r>
      <w:proofErr w:type="spellEnd"/>
      <w:r w:rsidRPr="00714650">
        <w:rPr>
          <w:b/>
        </w:rPr>
        <w:t xml:space="preserve"> orange – a symbol of hope and a future free from violence. </w:t>
      </w:r>
    </w:p>
    <w:p w:rsidR="009C1133" w:rsidRPr="009C1133" w:rsidRDefault="009C1133" w:rsidP="009C1133"/>
    <w:p w:rsidR="004872AA" w:rsidRPr="004872AA" w:rsidRDefault="004872AA" w:rsidP="004872AA">
      <w:pPr>
        <w:rPr>
          <w:b/>
        </w:rPr>
      </w:pPr>
    </w:p>
    <w:p w:rsidR="009C1133" w:rsidRPr="009C1133" w:rsidRDefault="009C1133" w:rsidP="009C1133"/>
    <w:p w:rsidR="00620AB0" w:rsidRPr="009C1133" w:rsidRDefault="00620AB0" w:rsidP="009C1133"/>
    <w:sectPr w:rsidR="00620AB0" w:rsidRPr="009C113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474CA"/>
    <w:multiLevelType w:val="multilevel"/>
    <w:tmpl w:val="5EE04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027A4E"/>
    <w:multiLevelType w:val="hybridMultilevel"/>
    <w:tmpl w:val="7F648C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8A43EE"/>
    <w:multiLevelType w:val="multilevel"/>
    <w:tmpl w:val="8DC67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BD666D"/>
    <w:multiLevelType w:val="multilevel"/>
    <w:tmpl w:val="61CA1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267A61"/>
    <w:multiLevelType w:val="multilevel"/>
    <w:tmpl w:val="6412A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CD74CE"/>
    <w:multiLevelType w:val="hybridMultilevel"/>
    <w:tmpl w:val="13448B2A"/>
    <w:lvl w:ilvl="0" w:tplc="BAFCCECC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1F5C2E"/>
    <w:multiLevelType w:val="multilevel"/>
    <w:tmpl w:val="24620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454"/>
    <w:rsid w:val="002E1A62"/>
    <w:rsid w:val="0038553F"/>
    <w:rsid w:val="0043209C"/>
    <w:rsid w:val="004872AA"/>
    <w:rsid w:val="00501A5D"/>
    <w:rsid w:val="005227D3"/>
    <w:rsid w:val="00620AB0"/>
    <w:rsid w:val="00714650"/>
    <w:rsid w:val="007A6A7E"/>
    <w:rsid w:val="009C1133"/>
    <w:rsid w:val="00A931F2"/>
    <w:rsid w:val="00AC0454"/>
    <w:rsid w:val="00B1611B"/>
    <w:rsid w:val="00B84830"/>
    <w:rsid w:val="00C40768"/>
    <w:rsid w:val="00C42990"/>
    <w:rsid w:val="00C76528"/>
    <w:rsid w:val="00E4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16E363-2AC2-40C7-8F81-C5CCBD0CA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931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76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7652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76528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9C1133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47180"/>
    <w:pPr>
      <w:ind w:left="720"/>
      <w:contextualSpacing/>
    </w:pPr>
  </w:style>
  <w:style w:type="table" w:styleId="TableGrid">
    <w:name w:val="Table Grid"/>
    <w:basedOn w:val="TableNormal"/>
    <w:uiPriority w:val="39"/>
    <w:rsid w:val="004872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A931F2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2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1359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stats.un.org/unsd/demographic-social/meetings/2024/iaeggs-20241203/3.A1_UNW%20WHO%20UNFPA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gitallibrary.un.org/record/4071605?ln=en&amp;v=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n.org/global-digital-compact/en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digital-strategy.ec.europa.eu/en/library/digital-services-act-overvie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u.int/en/aucevaw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1244</TotalTime>
  <Pages>3</Pages>
  <Words>772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2025-11-07T08:44:00Z</dcterms:created>
  <dcterms:modified xsi:type="dcterms:W3CDTF">2025-12-02T19:09:00Z</dcterms:modified>
</cp:coreProperties>
</file>